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Payfederate Compensation Value Worksheet</w:t>
      </w:r>
    </w:p>
    <w:p>
      <w:r>
        <w:rPr>
          <w:b w:val="0"/>
        </w:rPr>
        <w:t>Use this worksheet to connect competitive and equitable compensation with better productivity, lower costs and more capacity for important work. Start with the HCROI trend, then estimate value in five areas: compensation team efficiency, undesired attrition, time to hire, internal mobility, and engagement and morale.</w:t>
      </w:r>
    </w:p>
    <w:p>
      <w:r>
        <w:rPr>
          <w:b w:val="0"/>
          <w:sz w:val="18"/>
        </w:rPr>
        <w:t>Customer ____________________    Prepared by ____________________</w:t>
        <w:br/>
        <w:t>Evaluation year ____________________</w:t>
      </w:r>
    </w:p>
    <w:p>
      <w:pPr>
        <w:pStyle w:val="Heading1"/>
      </w:pPr>
      <w:r>
        <w:t>HCROI as the guiding principle</w:t>
      </w:r>
    </w:p>
    <w:p>
      <w:r>
        <w:rPr>
          <w:b w:val="0"/>
        </w:rPr>
        <w:t>Human Capital Return on Investment provides the overall lens for viewing workforce productivity. It asks how much value the organization generates for each dollar invested in compensation and benefits. Its most useful application is a consistent trend analysis: wherever your organization starts, the objective should be improvement over time.</w:t>
      </w:r>
    </w:p>
    <w:p>
      <w:r>
        <w:rPr>
          <w:b w:val="0"/>
        </w:rPr>
        <w:t>The trend matters more than the actual value. Business models, margins, outsourcing and workforce mix can make two companies’ ratios very different. Set the baseline for your own organization and examine whether the return on your people investment is improving. A single high ratio does not establish that pay is competitive, equitable or sustainable.</w:t>
      </w:r>
    </w:p>
    <w:p>
      <w:r>
        <w:rPr>
          <w:b/>
        </w:rPr>
        <w:t>HCROI = [Revenue − (Total operating costs − Compensation and benefits)] ÷ Compensation and benefits.</w:t>
      </w:r>
    </w:p>
    <w:p>
      <w:r>
        <w:rPr>
          <w:b w:val="0"/>
        </w:rPr>
        <w:t>Include workforce costs in total operating costs, and use the same cost definitions and business scope each year. The result is a multiple, not a net profit percentage. Enter three comparable annual HCROI values below; the change columns calculate the trend.</w:t>
      </w:r>
    </w:p>
    <w:tbl>
      <w:tblPr>
        <w:tblW w:type="auto" w:w="0"/>
        <w:jc w:val="center"/>
        <w:tblLayout w:type="fixed"/>
        <w:tblLook w:firstColumn="1" w:firstRow="1" w:lastColumn="0" w:lastRow="0" w:noHBand="0" w:noVBand="1" w:val="04A0"/>
      </w:tblPr>
      <w:tblGrid>
        <w:gridCol w:w="1440"/>
        <w:gridCol w:w="2016"/>
        <w:gridCol w:w="2448"/>
        <w:gridCol w:w="4176"/>
      </w:tblGrid>
      <w:tr>
        <w:trPr>
          <w:cantSplit/>
          <w:tblHeader/>
        </w:trPr>
        <w:tc>
          <w:tcPr>
            <w:tcW w:type="dxa" w:w="1440"/>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Year</w:t>
            </w:r>
          </w:p>
        </w:tc>
        <w:tc>
          <w:tcPr>
            <w:tcW w:type="dxa" w:w="2016"/>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HCROI multiple</w:t>
            </w:r>
          </w:p>
        </w:tc>
        <w:tc>
          <w:tcPr>
            <w:tcW w:type="dxa" w:w="2448"/>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Annual change</w:t>
            </w:r>
          </w:p>
        </w:tc>
        <w:tc>
          <w:tcPr>
            <w:tcW w:type="dxa" w:w="4176"/>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Change from Year 1</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color w:val="155A85"/>
                <w:sz w:val="20"/>
              </w:rPr>
              <w:t>2023</w:t>
            </w:r>
          </w:p>
        </w:tc>
        <w:tc>
          <w:tcPr>
            <w:tcW w:type="dxa" w:w="201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1.50</w:t>
            </w:r>
          </w:p>
        </w:tc>
        <w:tc>
          <w:tcPr>
            <w:tcW w:type="dxa" w:w="244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sz w:val="20"/>
              </w:rPr>
              <w:t>Baseline</w:t>
            </w:r>
          </w:p>
        </w:tc>
        <w:tc>
          <w:tcPr>
            <w:tcW w:type="dxa" w:w="417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sz w:val="20"/>
              </w:rPr>
              <w:t>Baseline</w:t>
            </w:r>
          </w:p>
        </w:tc>
      </w:tr>
      <w:tr>
        <w:trPr>
          <w:cantSplit/>
        </w:trPr>
        <w:tc>
          <w:tcPr>
            <w:tcW w:type="dxa" w:w="1440"/>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color w:val="155A85"/>
                <w:sz w:val="20"/>
              </w:rPr>
              <w:t>2024</w:t>
            </w:r>
          </w:p>
        </w:tc>
        <w:tc>
          <w:tcPr>
            <w:tcW w:type="dxa" w:w="201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1.60</w:t>
            </w:r>
          </w:p>
        </w:tc>
        <w:tc>
          <w:tcPr>
            <w:tcW w:type="dxa" w:w="244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ROUND((B3/B2-1)*100,1) \# "0.0" </w:instrText>
            </w:r>
            <w:r>
              <w:rPr>
                <w:b/>
                <w:sz w:val="20"/>
              </w:rPr>
              <w:fldChar w:fldCharType="separate"/>
            </w:r>
            <w:r>
              <w:rPr>
                <w:b/>
                <w:sz w:val="20"/>
              </w:rPr>
              <w:t>6.7</w:t>
            </w:r>
            <w:r>
              <w:rPr>
                <w:b/>
                <w:sz w:val="20"/>
              </w:rPr>
              <w:fldChar w:fldCharType="end"/>
            </w:r>
            <w:r>
              <w:rPr>
                <w:b/>
              </w:rPr>
              <w:t>%</w:t>
            </w:r>
          </w:p>
        </w:tc>
        <w:tc>
          <w:tcPr>
            <w:tcW w:type="dxa" w:w="417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ROUND((B3/B2-1)*100,1) \# "0.0" </w:instrText>
            </w:r>
            <w:r>
              <w:rPr>
                <w:b/>
                <w:sz w:val="20"/>
              </w:rPr>
              <w:fldChar w:fldCharType="separate"/>
            </w:r>
            <w:r>
              <w:rPr>
                <w:b/>
                <w:sz w:val="20"/>
              </w:rPr>
              <w:t>6.7</w:t>
            </w:r>
            <w:r>
              <w:rPr>
                <w:b/>
                <w:sz w:val="20"/>
              </w:rPr>
              <w:fldChar w:fldCharType="end"/>
            </w:r>
            <w:r>
              <w:rPr>
                <w:b/>
              </w:rPr>
              <w:t>%</w:t>
            </w:r>
          </w:p>
        </w:tc>
      </w:tr>
      <w:tr>
        <w:trPr>
          <w:cantSplit/>
        </w:trPr>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color w:val="155A85"/>
                <w:sz w:val="20"/>
              </w:rPr>
              <w:t>2025</w:t>
            </w:r>
          </w:p>
        </w:tc>
        <w:tc>
          <w:tcPr>
            <w:tcW w:type="dxa" w:w="201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1.75</w:t>
            </w:r>
          </w:p>
        </w:tc>
        <w:tc>
          <w:tcPr>
            <w:tcW w:type="dxa" w:w="244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ROUND((B4/B3-1)*100,1) \# "0.0" </w:instrText>
            </w:r>
            <w:r>
              <w:rPr>
                <w:b/>
                <w:sz w:val="20"/>
              </w:rPr>
              <w:fldChar w:fldCharType="separate"/>
            </w:r>
            <w:r>
              <w:rPr>
                <w:b/>
                <w:sz w:val="20"/>
              </w:rPr>
              <w:t>9.4</w:t>
            </w:r>
            <w:r>
              <w:rPr>
                <w:b/>
                <w:sz w:val="20"/>
              </w:rPr>
              <w:fldChar w:fldCharType="end"/>
            </w:r>
            <w:r>
              <w:rPr>
                <w:b/>
              </w:rPr>
              <w:t>%</w:t>
            </w:r>
          </w:p>
        </w:tc>
        <w:tc>
          <w:tcPr>
            <w:tcW w:type="dxa" w:w="417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ROUND((B4/B2-1)*100,1) \# "0.0" </w:instrText>
            </w:r>
            <w:r>
              <w:rPr>
                <w:b/>
                <w:sz w:val="20"/>
              </w:rPr>
              <w:fldChar w:fldCharType="separate"/>
            </w:r>
            <w:r>
              <w:rPr>
                <w:b/>
                <w:sz w:val="20"/>
              </w:rPr>
              <w:t>16.7</w:t>
            </w:r>
            <w:r>
              <w:rPr>
                <w:b/>
                <w:sz w:val="20"/>
              </w:rPr>
              <w:fldChar w:fldCharType="end"/>
            </w:r>
            <w:r>
              <w:rPr>
                <w:b/>
              </w:rPr>
              <w:t>%</w:t>
            </w:r>
          </w:p>
        </w:tc>
      </w:tr>
    </w:tbl>
    <w:p>
      <w:pPr>
        <w:spacing w:after="20"/>
      </w:pPr>
    </w:p>
    <w:p>
      <w:r>
        <w:rPr>
          <w:b w:val="0"/>
        </w:rPr>
        <w:t>Review the reasons behind the change: revenue, output, margins, staffing and pay investment. An investment in people may precede its return. If a baseline is zero or negative, compare the change in the multiple instead of a percentage. HCROI itself is not an additional dollar saving.</w:t>
      </w:r>
    </w:p>
    <w:p>
      <w:r>
        <w:rPr>
          <w:b w:val="0"/>
          <w:sz w:val="18"/>
        </w:rPr>
        <w:t>Using the tables. Blue numbers are editable examples for a 500-person organization, not market benchmarks or promised results. Replace them with your figures. Bold results are Word formula fields. After editing, select the table and press F9 (Fn+F9 on some Macs), or right-click a result and choose Update Field. Enter percentages as whole numbers, such as 8 for 8%.</w:t>
      </w:r>
    </w:p>
    <w:p>
      <w:r>
        <w:br w:type="page"/>
      </w:r>
    </w:p>
    <w:p>
      <w:pPr>
        <w:pStyle w:val="Heading1"/>
      </w:pPr>
      <w:r>
        <w:t>1 Compensation team efficiency</w:t>
      </w:r>
    </w:p>
    <w:p>
      <w:r>
        <w:rPr>
          <w:b w:val="0"/>
        </w:rPr>
        <w:t>Payfederate can create value by reducing the work required to compare jobs, evaluate market pay and prepare compensation decisions. Begin with the full cost of the compensation function: surveys, tools, team headcount and burdened compensation, plus outside consultants, overtime and temporary staffing. Burdened cost means salary, benefits and employer payroll costs.</w:t>
      </w:r>
    </w:p>
    <w:p>
      <w:r>
        <w:rPr>
          <w:b w:val="0"/>
        </w:rPr>
        <w:t>Review each survey for job coverage, relevance and actual use. A survey that does not support decisions may be discontinued or replaced with a better source. Where Payfederate replaces an existing tool or reduces dependence on outside analysis, capture the expense that will actually disappear. Include any replacement expense in the expected column; switching suppliers is only a saving when the net cost falls.</w:t>
      </w:r>
    </w:p>
    <w:p>
      <w:r>
        <w:rPr>
          <w:b w:val="0"/>
        </w:rPr>
        <w:t>Fewer manual steps can also reduce overtime and the need for temporary staff during planning cycles. These are direct savings when the spending ends. For permanent employees who remain on the team, faster work releases capacity for other priorities, such as pay equity reviews, manager support and better career structures. Value that time separately rather than assuming a payroll reduction.</w:t>
      </w:r>
    </w:p>
    <w:tbl>
      <w:tblPr>
        <w:tblW w:type="auto" w:w="0"/>
        <w:jc w:val="center"/>
        <w:tblLayout w:type="fixed"/>
        <w:tblLook w:firstColumn="1" w:firstRow="1" w:lastColumn="0" w:lastRow="0" w:noHBand="0" w:noVBand="1" w:val="04A0"/>
      </w:tblPr>
      <w:tblGrid>
        <w:gridCol w:w="6336"/>
        <w:gridCol w:w="1872"/>
        <w:gridCol w:w="1872"/>
      </w:tblGrid>
      <w:tr>
        <w:trPr>
          <w:cantSplit/>
          <w:tblHeader/>
        </w:trPr>
        <w:tc>
          <w:tcPr>
            <w:tcW w:type="dxa" w:w="6336"/>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Annual input or result</w:t>
            </w:r>
          </w:p>
        </w:tc>
        <w:tc>
          <w:tcPr>
            <w:tcW w:type="dxa" w:w="187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Current</w:t>
            </w:r>
          </w:p>
        </w:tc>
        <w:tc>
          <w:tcPr>
            <w:tcW w:type="dxa" w:w="187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Expected</w:t>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Compensation surveys ($)</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30,000</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20,000</w:t>
            </w:r>
          </w:p>
        </w:tc>
      </w:tr>
      <w:tr>
        <w:trPr>
          <w:cantSplit/>
        </w:trPr>
        <w:tc>
          <w:tcPr>
            <w:tcW w:type="dxa" w:w="633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Existing compensation tools ($)</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20,000</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10,000</w:t>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Compensation team headcount (FTE)</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w:t>
            </w:r>
          </w:p>
        </w:tc>
      </w:tr>
      <w:tr>
        <w:trPr>
          <w:cantSplit/>
        </w:trPr>
        <w:tc>
          <w:tcPr>
            <w:tcW w:type="dxa" w:w="633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Average burdened annual cost per FTE ($)</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150,000</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150,000</w:t>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Outside consultants ($)</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25,000</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15,000</w:t>
            </w:r>
          </w:p>
        </w:tc>
      </w:tr>
      <w:tr>
        <w:trPr>
          <w:cantSplit/>
        </w:trPr>
        <w:tc>
          <w:tcPr>
            <w:tcW w:type="dxa" w:w="633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Overtime ($)</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5,000</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0</w:t>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Temporary staffing ($)</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15,000</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0</w:t>
            </w:r>
          </w:p>
        </w:tc>
      </w:tr>
      <w:tr>
        <w:trPr>
          <w:cantSplit/>
        </w:trPr>
        <w:tc>
          <w:tcPr>
            <w:tcW w:type="dxa" w:w="633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Total compensation team payroll ($)</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B4*B5 \# "#,##0" </w:instrText>
            </w:r>
            <w:r>
              <w:rPr>
                <w:b/>
                <w:sz w:val="20"/>
              </w:rPr>
              <w:fldChar w:fldCharType="separate"/>
            </w:r>
            <w:r>
              <w:rPr>
                <w:b/>
                <w:sz w:val="20"/>
              </w:rPr>
              <w:t>300,000</w:t>
            </w:r>
            <w:r>
              <w:rPr>
                <w:b/>
                <w:sz w:val="20"/>
              </w:rPr>
              <w:fldChar w:fldCharType="end"/>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C4*C5 \# "#,##0" </w:instrText>
            </w:r>
            <w:r>
              <w:rPr>
                <w:b/>
                <w:sz w:val="20"/>
              </w:rPr>
              <w:fldChar w:fldCharType="separate"/>
            </w:r>
            <w:r>
              <w:rPr>
                <w:b/>
                <w:sz w:val="20"/>
              </w:rPr>
              <w:t>300,000</w:t>
            </w:r>
            <w:r>
              <w:rPr>
                <w:b/>
                <w:sz w:val="20"/>
              </w:rPr>
              <w:fldChar w:fldCharType="end"/>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Team time freed for other priorities (%)</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0</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20</w:t>
            </w:r>
          </w:p>
        </w:tc>
      </w:tr>
      <w:tr>
        <w:trPr>
          <w:cantSplit/>
        </w:trPr>
        <w:tc>
          <w:tcPr>
            <w:tcW w:type="dxa" w:w="6336"/>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Direct nonpayroll savings ($)</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sz w:val="20"/>
              </w:rPr>
              <w:t>—</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B2+B3+B6+B7+B8-C2-C3-C6-C7-C8 \# "#,##0" </w:instrText>
            </w:r>
            <w:r>
              <w:rPr>
                <w:b/>
                <w:sz w:val="20"/>
              </w:rPr>
              <w:fldChar w:fldCharType="separate"/>
            </w:r>
            <w:r>
              <w:rPr>
                <w:b/>
                <w:sz w:val="20"/>
              </w:rPr>
              <w:t>50,000</w:t>
            </w:r>
            <w:r>
              <w:rPr>
                <w:b/>
                <w:sz w:val="20"/>
              </w:rPr>
              <w:fldChar w:fldCharType="end"/>
            </w:r>
          </w:p>
        </w:tc>
      </w:tr>
      <w:tr>
        <w:trPr>
          <w:cantSplit/>
        </w:trPr>
        <w:tc>
          <w:tcPr>
            <w:tcW w:type="dxa" w:w="6336"/>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Annual capacity value released ($)</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sz w:val="20"/>
              </w:rPr>
              <w:t>—</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C4*C5*C10/100 \# "#,##0" </w:instrText>
            </w:r>
            <w:r>
              <w:rPr>
                <w:b/>
                <w:sz w:val="20"/>
              </w:rPr>
              <w:fldChar w:fldCharType="separate"/>
            </w:r>
            <w:r>
              <w:rPr>
                <w:b/>
                <w:sz w:val="20"/>
              </w:rPr>
              <w:t>60,000</w:t>
            </w:r>
            <w:r>
              <w:rPr>
                <w:b/>
                <w:sz w:val="20"/>
              </w:rPr>
              <w:fldChar w:fldCharType="end"/>
            </w:r>
          </w:p>
        </w:tc>
      </w:tr>
    </w:tbl>
    <w:p>
      <w:pPr>
        <w:spacing w:after="20"/>
      </w:pPr>
    </w:p>
    <w:p>
      <w:r>
        <w:rPr>
          <w:b w:val="0"/>
        </w:rPr>
        <w:t>The example identifies $50,000 of direct expense reduction and $60,000 of staff capacity. Capacity is valuable when it is assigned to work the organization needs. Agree on what the team will do with the time and how that work will be measured. Do not count the same overtime or temporary staffing reduction twice.</w:t>
      </w:r>
    </w:p>
    <w:p>
      <w:r>
        <w:rPr>
          <w:b w:val="0"/>
          <w:sz w:val="18"/>
        </w:rPr>
        <w:t>Priority enabled by the released time __________________________________</w:t>
        <w:br/>
        <w:t>Expense or contract to eliminate or replace ______________________________</w:t>
      </w:r>
    </w:p>
    <w:p>
      <w:r>
        <w:rPr>
          <w:b w:val="0"/>
          <w:sz w:val="18"/>
        </w:rPr>
        <w:t>All benefits are gross. Before presenting a net business case, deduct Payfederate fees, implementation expenses and any added compensation investment. Existing-tool costs above exclude the new Payfederate subscription.</w:t>
      </w:r>
    </w:p>
    <w:p>
      <w:r>
        <w:br w:type="page"/>
      </w:r>
    </w:p>
    <w:p>
      <w:pPr>
        <w:pStyle w:val="Heading1"/>
      </w:pPr>
      <w:r>
        <w:t>2 Reduction in undesired attrition</w:t>
      </w:r>
    </w:p>
    <w:p>
      <w:r>
        <w:rPr>
          <w:b w:val="0"/>
        </w:rPr>
        <w:t>Competitive and equitable pay can help retain employees the organization wants to keep. Define undesired attrition consistently, identify the roles where pay contributes to departures, and set a realistic annual target. Use the average employee population rather than a single year-end headcount.</w:t>
      </w:r>
    </w:p>
    <w:p>
      <w:r>
        <w:rPr>
          <w:b w:val="0"/>
        </w:rPr>
        <w:t>Replacement costs can include recruiting, onboarding, management time and lost productivity during vacancy and ramp-up. The editable starting assumption below is twice the average burdened annual cost. This is a planning assumption, not a universal replacement-cost benchmark. The calculated benefit combines cash and productivity value; use actual role-specific costs when available.</w:t>
      </w:r>
    </w:p>
    <w:tbl>
      <w:tblPr>
        <w:tblW w:type="auto" w:w="0"/>
        <w:jc w:val="center"/>
        <w:tblLayout w:type="fixed"/>
        <w:tblLook w:firstColumn="1" w:firstRow="1" w:lastColumn="0" w:lastRow="0" w:noHBand="0" w:noVBand="1" w:val="04A0"/>
      </w:tblPr>
      <w:tblGrid>
        <w:gridCol w:w="7488"/>
        <w:gridCol w:w="2592"/>
      </w:tblGrid>
      <w:tr>
        <w:trPr>
          <w:cantSplit/>
          <w:tblHeader/>
        </w:trPr>
        <w:tc>
          <w:tcPr>
            <w:tcW w:type="dxa" w:w="7488"/>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Annual input or result</w:t>
            </w:r>
          </w:p>
        </w:tc>
        <w:tc>
          <w:tcPr>
            <w:tcW w:type="dxa" w:w="259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Value</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Average employee population</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500</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Current undesired attrition (%)</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8</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Target undesired attrition (%)</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7</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Average burdened annual cost ($)</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100,000</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Replacement cost multiple</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Avoided departures</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B2*(B3-B4)/100 \# "0.0" </w:instrText>
            </w:r>
            <w:r>
              <w:rPr>
                <w:b/>
                <w:sz w:val="20"/>
              </w:rPr>
              <w:fldChar w:fldCharType="separate"/>
            </w:r>
            <w:r>
              <w:rPr>
                <w:b/>
                <w:sz w:val="20"/>
              </w:rPr>
              <w:t>5</w:t>
            </w:r>
            <w:r>
              <w:rPr>
                <w:b/>
                <w:sz w:val="20"/>
              </w:rPr>
              <w:fldChar w:fldCharType="end"/>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Estimated replacement value avoided ($)</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B2*(B3-B4)/100*B5*B6 \# "#,##0" </w:instrText>
            </w:r>
            <w:r>
              <w:rPr>
                <w:b/>
                <w:sz w:val="20"/>
              </w:rPr>
              <w:fldChar w:fldCharType="separate"/>
            </w:r>
            <w:r>
              <w:rPr>
                <w:b/>
                <w:sz w:val="20"/>
              </w:rPr>
              <w:t>1,000,000</w:t>
            </w:r>
            <w:r>
              <w:rPr>
                <w:b/>
                <w:sz w:val="20"/>
              </w:rPr>
              <w:fldChar w:fldCharType="end"/>
            </w:r>
          </w:p>
        </w:tc>
      </w:tr>
    </w:tbl>
    <w:p>
      <w:pPr>
        <w:spacing w:after="20"/>
      </w:pPr>
    </w:p>
    <w:p>
      <w:r>
        <w:rPr>
          <w:b w:val="0"/>
          <w:sz w:val="18"/>
        </w:rPr>
        <w:t>The example avoids five departures and estimates $1 million in replacement value. Count only the share supported by the compensation changes. Exclude these avoided replacement hires from the staffing estimates below, and do not add recruiting or vacancy costs already included in the replacement multiple.</w:t>
      </w:r>
    </w:p>
    <w:p>
      <w:pPr>
        <w:pStyle w:val="Heading1"/>
      </w:pPr>
      <w:r>
        <w:t>3 Staffing and time to hire</w:t>
      </w:r>
    </w:p>
    <w:p>
      <w:r>
        <w:rPr>
          <w:b w:val="0"/>
        </w:rPr>
        <w:t>Clear, competitive pay ranges can help recruiters establish an appropriate offer earlier and reduce compensation-related delays. Measure the time from an approved opening to the employee’s start date using a consistent calendar-day definition. The main benefit is earlier productive capacity; it does not automatically reduce payroll spending.</w:t>
      </w:r>
    </w:p>
    <w:p>
      <w:r>
        <w:rPr>
          <w:b w:val="0"/>
        </w:rPr>
        <w:t>Use only hires still needed after the attrition improvement. The table estimates vacancy days recovered. Convert these days into dollars only when Finance can support the net contribution of an earlier start, after additional wages and other delivery costs.</w:t>
      </w:r>
    </w:p>
    <w:tbl>
      <w:tblPr>
        <w:tblW w:type="auto" w:w="0"/>
        <w:jc w:val="center"/>
        <w:tblLayout w:type="fixed"/>
        <w:tblLook w:firstColumn="1" w:firstRow="1" w:lastColumn="0" w:lastRow="0" w:noHBand="0" w:noVBand="1" w:val="04A0"/>
      </w:tblPr>
      <w:tblGrid>
        <w:gridCol w:w="7488"/>
        <w:gridCol w:w="2592"/>
      </w:tblGrid>
      <w:tr>
        <w:trPr>
          <w:cantSplit/>
          <w:tblHeader/>
        </w:trPr>
        <w:tc>
          <w:tcPr>
            <w:tcW w:type="dxa" w:w="7488"/>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Annual input or result</w:t>
            </w:r>
          </w:p>
        </w:tc>
        <w:tc>
          <w:tcPr>
            <w:tcW w:type="dxa" w:w="259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Value</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Hires still required</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50</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Current days to hire</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45</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Target days to hire</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35</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Vacancy days recovered</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B2*(B3-B4) \# "#,##0" </w:instrText>
            </w:r>
            <w:r>
              <w:rPr>
                <w:b/>
                <w:sz w:val="20"/>
              </w:rPr>
              <w:fldChar w:fldCharType="separate"/>
            </w:r>
            <w:r>
              <w:rPr>
                <w:b/>
                <w:sz w:val="20"/>
              </w:rPr>
              <w:t>500</w:t>
            </w:r>
            <w:r>
              <w:rPr>
                <w:b/>
                <w:sz w:val="20"/>
              </w:rPr>
              <w:fldChar w:fldCharType="end"/>
            </w:r>
          </w:p>
        </w:tc>
      </w:tr>
    </w:tbl>
    <w:p>
      <w:pPr>
        <w:spacing w:after="20"/>
      </w:pPr>
    </w:p>
    <w:p>
      <w:r>
        <w:rPr>
          <w:b w:val="0"/>
          <w:sz w:val="18"/>
        </w:rPr>
        <w:t>Business capacity enabled __________________________________________</w:t>
      </w:r>
    </w:p>
    <w:p>
      <w:r>
        <w:br w:type="page"/>
      </w:r>
    </w:p>
    <w:p>
      <w:pPr>
        <w:pStyle w:val="Heading1"/>
      </w:pPr>
      <w:r>
        <w:t>4 Staffing and internal mobility</w:t>
      </w:r>
    </w:p>
    <w:p>
      <w:r>
        <w:rPr>
          <w:b w:val="0"/>
        </w:rPr>
        <w:t>Clear job levels and pay ranges can make internal moves easier to evaluate and explain. Payfederate can support consistent pay decisions for promotions and transfers, helping the organization meet its internal mobility target. Internal hires may require less external recruiting spend and can bring knowledge of the business to the new role.</w:t>
      </w:r>
    </w:p>
    <w:p>
      <w:r>
        <w:rPr>
          <w:b w:val="0"/>
        </w:rPr>
        <w:t>Set a target for the share of openings filled internally and compare the external recruiting cost avoided with the cost of the internal move. Include any recruiting expense created by backfilling the employee’s previous role. Use a net saving per additional internal hire so that a transfer is not automatically treated as an eliminated vacancy.</w:t>
      </w:r>
    </w:p>
    <w:tbl>
      <w:tblPr>
        <w:tblW w:type="auto" w:w="0"/>
        <w:jc w:val="center"/>
        <w:tblLayout w:type="fixed"/>
        <w:tblLook w:firstColumn="1" w:firstRow="1" w:lastColumn="0" w:lastRow="0" w:noHBand="0" w:noVBand="1" w:val="04A0"/>
      </w:tblPr>
      <w:tblGrid>
        <w:gridCol w:w="7488"/>
        <w:gridCol w:w="2592"/>
      </w:tblGrid>
      <w:tr>
        <w:trPr>
          <w:cantSplit/>
          <w:tblHeader/>
        </w:trPr>
        <w:tc>
          <w:tcPr>
            <w:tcW w:type="dxa" w:w="7488"/>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Annual input or result</w:t>
            </w:r>
          </w:p>
        </w:tc>
        <w:tc>
          <w:tcPr>
            <w:tcW w:type="dxa" w:w="259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Value</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Openings eligible for internal mobility</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50</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Current internal fill rate (%)</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20</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Target internal fill rate (%)</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30</w:t>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Net recruiting saving per added internal hire ($)</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4,000</w:t>
            </w:r>
          </w:p>
        </w:tc>
      </w:tr>
      <w:tr>
        <w:trPr>
          <w:cantSplit/>
        </w:trPr>
        <w:tc>
          <w:tcPr>
            <w:tcW w:type="dxa" w:w="748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Additional internal hires</w:t>
            </w:r>
          </w:p>
        </w:tc>
        <w:tc>
          <w:tcPr>
            <w:tcW w:type="dxa" w:w="259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B2*(B4-B3)/100 \# "0.0" </w:instrText>
            </w:r>
            <w:r>
              <w:rPr>
                <w:b/>
                <w:sz w:val="20"/>
              </w:rPr>
              <w:fldChar w:fldCharType="separate"/>
            </w:r>
            <w:r>
              <w:rPr>
                <w:b/>
                <w:sz w:val="20"/>
              </w:rPr>
              <w:t>5</w:t>
            </w:r>
            <w:r>
              <w:rPr>
                <w:b/>
                <w:sz w:val="20"/>
              </w:rPr>
              <w:fldChar w:fldCharType="end"/>
            </w:r>
          </w:p>
        </w:tc>
      </w:tr>
      <w:tr>
        <w:trPr>
          <w:cantSplit/>
        </w:trPr>
        <w:tc>
          <w:tcPr>
            <w:tcW w:type="dxa" w:w="748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Recruiting expense saved ($)</w:t>
            </w:r>
          </w:p>
        </w:tc>
        <w:tc>
          <w:tcPr>
            <w:tcW w:type="dxa" w:w="259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B2*(B4-B3)/100*B5 \# "#,##0" </w:instrText>
            </w:r>
            <w:r>
              <w:rPr>
                <w:b/>
                <w:sz w:val="20"/>
              </w:rPr>
              <w:fldChar w:fldCharType="separate"/>
            </w:r>
            <w:r>
              <w:rPr>
                <w:b/>
                <w:sz w:val="20"/>
              </w:rPr>
              <w:t>20,000</w:t>
            </w:r>
            <w:r>
              <w:rPr>
                <w:b/>
                <w:sz w:val="20"/>
              </w:rPr>
              <w:fldChar w:fldCharType="end"/>
            </w:r>
          </w:p>
        </w:tc>
      </w:tr>
    </w:tbl>
    <w:p>
      <w:pPr>
        <w:spacing w:after="20"/>
      </w:pPr>
    </w:p>
    <w:p>
      <w:pPr>
        <w:pStyle w:val="Heading1"/>
      </w:pPr>
      <w:r>
        <w:t>5 Engagement and morale</w:t>
      </w:r>
    </w:p>
    <w:p>
      <w:r>
        <w:rPr>
          <w:b w:val="0"/>
        </w:rPr>
        <w:t>Employees need confidence that pay decisions are understandable, competitive and fair. A consistent compensation approach can reduce uncertainty and help managers explain how pay and progression work. Payfederate can support that approach, while leadership, workload, development and the quality of management also influence engagement.</w:t>
      </w:r>
    </w:p>
    <w:p>
      <w:r>
        <w:rPr>
          <w:b w:val="0"/>
        </w:rPr>
        <w:t>Gallup’s 2024 Q12 meta-analysis found that business units in the top quartile of engagement had 23% higher profitability than those in the bottom quartile. This is an observed difference between groups, not evidence that a pay change or software purchase will produce a 23% gain. Use the finding to explain why engagement matters, then measure progress within your organization.</w:t>
      </w:r>
    </w:p>
    <w:p>
      <w:r>
        <w:rPr>
          <w:b w:val="0"/>
        </w:rPr>
        <w:t>Track engagement with the same survey and scoring method each year. Pair it with a pay-fairness question and a business outcome such as output per paid hour. Keep any financial benefit outside the savings total until the operational improvement is measured and its contribution is supportable.</w:t>
      </w:r>
    </w:p>
    <w:tbl>
      <w:tblPr>
        <w:tblW w:type="auto" w:w="0"/>
        <w:jc w:val="center"/>
        <w:tblLayout w:type="fixed"/>
        <w:tblLook w:firstColumn="1" w:firstRow="1" w:lastColumn="0" w:lastRow="0" w:noHBand="0" w:noVBand="1" w:val="04A0"/>
      </w:tblPr>
      <w:tblGrid>
        <w:gridCol w:w="5328"/>
        <w:gridCol w:w="1440"/>
        <w:gridCol w:w="1440"/>
        <w:gridCol w:w="1872"/>
      </w:tblGrid>
      <w:tr>
        <w:trPr>
          <w:cantSplit/>
          <w:tblHeader/>
        </w:trPr>
        <w:tc>
          <w:tcPr>
            <w:tcW w:type="dxa" w:w="5328"/>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keepNext/>
              <w:spacing w:after="0" w:line="240" w:lineRule="auto"/>
              <w:jc w:val="left"/>
            </w:pPr>
            <w:r>
              <w:rPr>
                <w:b/>
                <w:sz w:val="20"/>
              </w:rPr>
              <w:t>Measure</w:t>
            </w:r>
          </w:p>
        </w:tc>
        <w:tc>
          <w:tcPr>
            <w:tcW w:type="dxa" w:w="1440"/>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Current</w:t>
            </w:r>
          </w:p>
        </w:tc>
        <w:tc>
          <w:tcPr>
            <w:tcW w:type="dxa" w:w="1440"/>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Target</w:t>
            </w:r>
          </w:p>
        </w:tc>
        <w:tc>
          <w:tcPr>
            <w:tcW w:type="dxa" w:w="1872"/>
            <w:vAlign w:val="center"/>
            <w:shd w:fill="E7EDF2"/>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sz w:val="20"/>
              </w:rPr>
              <w:t>Change</w:t>
            </w:r>
          </w:p>
        </w:tc>
      </w:tr>
      <w:tr>
        <w:trPr>
          <w:cantSplit/>
        </w:trPr>
        <w:tc>
          <w:tcPr>
            <w:tcW w:type="dxa" w:w="532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Engagement favorable responses (%)</w:t>
            </w:r>
          </w:p>
        </w:tc>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70</w:t>
            </w:r>
          </w:p>
        </w:tc>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75</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C2-B2 \# "0.0" </w:instrText>
            </w:r>
            <w:r>
              <w:rPr>
                <w:b/>
                <w:sz w:val="20"/>
              </w:rPr>
              <w:fldChar w:fldCharType="separate"/>
            </w:r>
            <w:r>
              <w:rPr>
                <w:b/>
                <w:sz w:val="20"/>
              </w:rPr>
              <w:t>5.0</w:t>
            </w:r>
            <w:r>
              <w:rPr>
                <w:b/>
                <w:sz w:val="20"/>
              </w:rPr>
              <w:fldChar w:fldCharType="end"/>
            </w:r>
            <w:r>
              <w:rPr>
                <w:b/>
              </w:rPr>
              <w:t xml:space="preserve"> pts</w:t>
            </w:r>
          </w:p>
        </w:tc>
      </w:tr>
      <w:tr>
        <w:trPr>
          <w:cantSplit/>
        </w:trPr>
        <w:tc>
          <w:tcPr>
            <w:tcW w:type="dxa" w:w="5328"/>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Pay fairness favorable responses (%)</w:t>
            </w:r>
          </w:p>
        </w:tc>
        <w:tc>
          <w:tcPr>
            <w:tcW w:type="dxa" w:w="1440"/>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60</w:t>
            </w:r>
          </w:p>
        </w:tc>
        <w:tc>
          <w:tcPr>
            <w:tcW w:type="dxa" w:w="1440"/>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70</w:t>
            </w:r>
          </w:p>
        </w:tc>
        <w:tc>
          <w:tcPr>
            <w:tcW w:type="dxa" w:w="1872"/>
            <w:vAlign w:val="center"/>
            <w:shd w:fill="F7F8FA"/>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C3-B3 \# "0.0" </w:instrText>
            </w:r>
            <w:r>
              <w:rPr>
                <w:b/>
                <w:sz w:val="20"/>
              </w:rPr>
              <w:fldChar w:fldCharType="separate"/>
            </w:r>
            <w:r>
              <w:rPr>
                <w:b/>
                <w:sz w:val="20"/>
              </w:rPr>
              <w:t>10.0</w:t>
            </w:r>
            <w:r>
              <w:rPr>
                <w:b/>
                <w:sz w:val="20"/>
              </w:rPr>
              <w:fldChar w:fldCharType="end"/>
            </w:r>
            <w:r>
              <w:rPr>
                <w:b/>
              </w:rPr>
              <w:t xml:space="preserve"> pts</w:t>
            </w:r>
          </w:p>
        </w:tc>
      </w:tr>
      <w:tr>
        <w:trPr>
          <w:cantSplit/>
        </w:trPr>
        <w:tc>
          <w:tcPr>
            <w:tcW w:type="dxa" w:w="5328"/>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left"/>
            </w:pPr>
            <w:r>
              <w:rPr>
                <w:b w:val="0"/>
                <w:sz w:val="20"/>
              </w:rPr>
              <w:t>Output per paid hour (index)</w:t>
            </w:r>
          </w:p>
        </w:tc>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100</w:t>
            </w:r>
          </w:p>
        </w:tc>
        <w:tc>
          <w:tcPr>
            <w:tcW w:type="dxa" w:w="1440"/>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spacing w:after="0" w:line="240" w:lineRule="auto"/>
              <w:jc w:val="right"/>
            </w:pPr>
            <w:r>
              <w:rPr>
                <w:b w:val="0"/>
                <w:color w:val="155A85"/>
                <w:sz w:val="20"/>
              </w:rPr>
              <w:t>102</w:t>
            </w:r>
          </w:p>
        </w:tc>
        <w:tc>
          <w:tcPr>
            <w:tcW w:type="dxa" w:w="1872"/>
            <w:vAlign w:val="center"/>
            <w:shd w:fill="FFFFFF"/>
            <w:tcBorders>
              <w:top w:val="single" w:sz="4" w:color="D9D9D9"/>
              <w:left w:val="single" w:sz="4" w:color="D9D9D9"/>
              <w:bottom w:val="single" w:sz="4" w:color="D9D9D9"/>
              <w:right w:val="single" w:sz="4" w:color="D9D9D9"/>
            </w:tcBorders>
            <w:tcMar>
              <w:top w:w="60" w:type="dxa"/>
              <w:bottom w:w="60" w:type="dxa"/>
              <w:left w:w="90" w:type="dxa"/>
              <w:right w:w="90" w:type="dxa"/>
            </w:tcMar>
          </w:tcPr>
          <w:p>
            <w:pPr>
              <w:jc w:val="right"/>
            </w:pPr>
            <w:r>
              <w:rPr>
                <w:b/>
                <w:sz w:val="20"/>
              </w:rPr>
            </w:r>
            <w:r>
              <w:rPr>
                <w:b/>
                <w:sz w:val="20"/>
              </w:rPr>
              <w:fldChar w:fldCharType="begin" w:dirty="true"/>
            </w:r>
            <w:r>
              <w:rPr>
                <w:b/>
                <w:sz w:val="20"/>
              </w:rPr>
              <w:instrText xml:space="preserve"> = ROUND((C4/B4-1)*100,1) \# "0.0" </w:instrText>
            </w:r>
            <w:r>
              <w:rPr>
                <w:b/>
                <w:sz w:val="20"/>
              </w:rPr>
              <w:fldChar w:fldCharType="separate"/>
            </w:r>
            <w:r>
              <w:rPr>
                <w:b/>
                <w:sz w:val="20"/>
              </w:rPr>
              <w:t>2.0</w:t>
            </w:r>
            <w:r>
              <w:rPr>
                <w:b/>
                <w:sz w:val="20"/>
              </w:rPr>
              <w:fldChar w:fldCharType="end"/>
            </w:r>
            <w:r>
              <w:rPr>
                <w:b/>
              </w:rPr>
              <w:t>%</w:t>
            </w:r>
          </w:p>
        </w:tc>
      </w:tr>
    </w:tbl>
    <w:p>
      <w:pPr>
        <w:spacing w:after="20"/>
      </w:pPr>
    </w:p>
    <w:p>
      <w:r>
        <w:rPr>
          <w:b w:val="0"/>
          <w:sz w:val="18"/>
        </w:rPr>
        <w:t>First two changes are percentage points. The output index uses today’s performance = 100. Neither engagement improvement nor the HCROI trend is an additional dollar-saving line.</w:t>
      </w:r>
    </w:p>
    <w:p>
      <w:pPr>
        <w:spacing w:after="60"/>
      </w:pPr>
      <w:hyperlink r:id="rId9">
        <w:r>
          <w:rPr>
            <w:sz w:val="17"/>
          </w:rPr>
          <w:t>Source: Gallup Q12 Meta-Analysis, 11th edition (2024)</w:t>
        </w:r>
      </w:hyperlink>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hyperlink" Target="https://www.gallup.com/workplace/321725/gallup-q12-meta-analysis-repor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5AB238FC2E3047AB17B19D8E0F46B1" ma:contentTypeVersion="14" ma:contentTypeDescription="Create a new document." ma:contentTypeScope="" ma:versionID="62c94329c099351532b8e213d7f11229">
  <xsd:schema xmlns:xsd="http://www.w3.org/2001/XMLSchema" xmlns:xs="http://www.w3.org/2001/XMLSchema" xmlns:p="http://schemas.microsoft.com/office/2006/metadata/properties" xmlns:ns2="fe85168e-3852-439c-b795-f9d34fc5d9e8" xmlns:ns3="564931a4-d965-40d4-9ea6-d756e8aaac05" targetNamespace="http://schemas.microsoft.com/office/2006/metadata/properties" ma:root="true" ma:fieldsID="8a6d82c2fdc32084fab051c7924a6725" ns2:_="" ns3:_="">
    <xsd:import namespace="fe85168e-3852-439c-b795-f9d34fc5d9e8"/>
    <xsd:import namespace="564931a4-d965-40d4-9ea6-d756e8aaac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5168e-3852-439c-b795-f9d34fc5d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418d888-4977-4f78-a764-604f6801d91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931a4-d965-40d4-9ea6-d756e8aaac0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5bd7aec-bc74-451a-aaed-c1990843da48}" ma:internalName="TaxCatchAll" ma:showField="CatchAllData" ma:web="564931a4-d965-40d4-9ea6-d756e8aaa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85168e-3852-439c-b795-f9d34fc5d9e8">
      <Terms xmlns="http://schemas.microsoft.com/office/infopath/2007/PartnerControls"/>
    </lcf76f155ced4ddcb4097134ff3c332f>
    <TaxCatchAll xmlns="564931a4-d965-40d4-9ea6-d756e8aaac0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3D4EEF2-71AB-4B46-ACEB-CFA79738F3DE}"/>
</file>

<file path=customXml/itemProps3.xml><?xml version="1.0" encoding="utf-8"?>
<ds:datastoreItem xmlns:ds="http://schemas.openxmlformats.org/officeDocument/2006/customXml" ds:itemID="{362981FC-AB31-4A54-98A6-9437847FEA09}"/>
</file>

<file path=customXml/itemProps4.xml><?xml version="1.0" encoding="utf-8"?>
<ds:datastoreItem xmlns:ds="http://schemas.openxmlformats.org/officeDocument/2006/customXml" ds:itemID="{15A8533E-9757-4510-ABB8-C451A506F705}"/>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Payfederate Compensation Value Worksheet</dc:title>
  <dc:subject>HCROI trends and five areas of compensation value</dc:subject>
  <dc:creator>Payfederate</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0x0101009F5AB238FC2E3047AB17B19D8E0F46B1</vt:lpwstr>
  </property>
</Properties>
</file>